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735" w:type="dxa"/>
        <w:tblInd w:w="-289" w:type="dxa"/>
        <w:tblLook w:val="04A0" w:firstRow="1" w:lastRow="0" w:firstColumn="1" w:lastColumn="0" w:noHBand="0" w:noVBand="1"/>
      </w:tblPr>
      <w:tblGrid>
        <w:gridCol w:w="426"/>
        <w:gridCol w:w="6379"/>
        <w:gridCol w:w="7513"/>
        <w:gridCol w:w="1417"/>
      </w:tblGrid>
      <w:tr w:rsidR="00F95AA8" w14:paraId="1554C519" w14:textId="77777777" w:rsidTr="00F95AA8">
        <w:tc>
          <w:tcPr>
            <w:tcW w:w="426" w:type="dxa"/>
            <w:shd w:val="clear" w:color="auto" w:fill="70AD47" w:themeFill="accent6"/>
            <w:vAlign w:val="center"/>
          </w:tcPr>
          <w:p w14:paraId="49A49947" w14:textId="77777777" w:rsidR="00F95AA8" w:rsidRDefault="00F95AA8" w:rsidP="00F95AA8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#</w:t>
            </w:r>
          </w:p>
        </w:tc>
        <w:tc>
          <w:tcPr>
            <w:tcW w:w="6379" w:type="dxa"/>
            <w:shd w:val="clear" w:color="auto" w:fill="70AD47" w:themeFill="accent6"/>
            <w:vAlign w:val="center"/>
          </w:tcPr>
          <w:p w14:paraId="4A990B5D" w14:textId="77777777" w:rsidR="00F95AA8" w:rsidRPr="00F95AA8" w:rsidRDefault="00F95AA8" w:rsidP="00F95AA8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Question</w:t>
            </w:r>
          </w:p>
        </w:tc>
        <w:tc>
          <w:tcPr>
            <w:tcW w:w="7513" w:type="dxa"/>
            <w:shd w:val="clear" w:color="auto" w:fill="70AD47" w:themeFill="accent6"/>
            <w:vAlign w:val="center"/>
          </w:tcPr>
          <w:p w14:paraId="6C55CF11" w14:textId="77777777" w:rsidR="00F95AA8" w:rsidRPr="00F95AA8" w:rsidRDefault="00F95AA8" w:rsidP="00F95AA8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Answer</w:t>
            </w:r>
          </w:p>
        </w:tc>
        <w:tc>
          <w:tcPr>
            <w:tcW w:w="1417" w:type="dxa"/>
            <w:shd w:val="clear" w:color="auto" w:fill="70AD47" w:themeFill="accent6"/>
            <w:vAlign w:val="center"/>
          </w:tcPr>
          <w:p w14:paraId="32F5A8AD" w14:textId="77777777" w:rsidR="00F95AA8" w:rsidRPr="00F95AA8" w:rsidRDefault="00F95AA8" w:rsidP="00F95AA8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Responded</w:t>
            </w:r>
          </w:p>
        </w:tc>
      </w:tr>
      <w:tr w:rsidR="00F95AA8" w14:paraId="436673DE" w14:textId="77777777" w:rsidTr="00F95AA8">
        <w:tc>
          <w:tcPr>
            <w:tcW w:w="426" w:type="dxa"/>
            <w:vAlign w:val="center"/>
          </w:tcPr>
          <w:p w14:paraId="701A1829" w14:textId="77777777" w:rsidR="00F95AA8" w:rsidRDefault="00F95AA8" w:rsidP="00F95AA8">
            <w:pPr>
              <w:jc w:val="center"/>
            </w:pPr>
            <w:r>
              <w:t>1</w:t>
            </w:r>
          </w:p>
        </w:tc>
        <w:tc>
          <w:tcPr>
            <w:tcW w:w="6379" w:type="dxa"/>
            <w:vAlign w:val="center"/>
          </w:tcPr>
          <w:p w14:paraId="341DD30F" w14:textId="77777777" w:rsidR="00F95AA8" w:rsidRDefault="00F95AA8" w:rsidP="00F95AA8">
            <w:r>
              <w:t>Clause 1.1 Project Overview mentions this EOI is reserved for PNG Citizen companies who are suitably qualified and experienced in solar farms.</w:t>
            </w:r>
          </w:p>
          <w:p w14:paraId="7736AB28" w14:textId="77777777" w:rsidR="00F95AA8" w:rsidRDefault="00D65362" w:rsidP="00F95AA8">
            <w:r>
              <w:t>Please</w:t>
            </w:r>
            <w:r w:rsidR="00F95AA8">
              <w:t xml:space="preserve"> clarify the definition of PNG Citizen companies.</w:t>
            </w:r>
          </w:p>
        </w:tc>
        <w:tc>
          <w:tcPr>
            <w:tcW w:w="7513" w:type="dxa"/>
            <w:vAlign w:val="center"/>
          </w:tcPr>
          <w:p w14:paraId="07510D07" w14:textId="2FA352D9" w:rsidR="00F95AA8" w:rsidRDefault="00D65362" w:rsidP="00CB157C">
            <w:r w:rsidRPr="00D65362">
              <w:t xml:space="preserve">PNG Citizen Companies </w:t>
            </w:r>
            <w:r w:rsidR="00BC4910">
              <w:t xml:space="preserve">is not defined </w:t>
            </w:r>
            <w:r w:rsidRPr="00D65362">
              <w:t>in the N</w:t>
            </w:r>
            <w:r w:rsidR="00C84EE4">
              <w:t xml:space="preserve">ational </w:t>
            </w:r>
            <w:r w:rsidRPr="00D65362">
              <w:t>E</w:t>
            </w:r>
            <w:r w:rsidR="00C84EE4">
              <w:t xml:space="preserve">nergy </w:t>
            </w:r>
            <w:r w:rsidRPr="00D65362">
              <w:t>A</w:t>
            </w:r>
            <w:r w:rsidR="00C84EE4">
              <w:t>uthority</w:t>
            </w:r>
            <w:r w:rsidRPr="00D65362">
              <w:t xml:space="preserve"> Act, </w:t>
            </w:r>
            <w:r w:rsidR="00BC4910">
              <w:t xml:space="preserve">however </w:t>
            </w:r>
            <w:r w:rsidRPr="00D65362">
              <w:t>PPL</w:t>
            </w:r>
            <w:r w:rsidR="00C84EE4">
              <w:t xml:space="preserve"> </w:t>
            </w:r>
            <w:r w:rsidR="008652C2">
              <w:t>has sought guidance from the regulator,  the National Energy Authority</w:t>
            </w:r>
            <w:r w:rsidR="00D20EC6">
              <w:t>,</w:t>
            </w:r>
            <w:r w:rsidR="008652C2">
              <w:t xml:space="preserve"> who has </w:t>
            </w:r>
            <w:r w:rsidR="00C84EE4">
              <w:t xml:space="preserve">responded </w:t>
            </w:r>
            <w:r w:rsidR="008652C2">
              <w:t xml:space="preserve">in writing that </w:t>
            </w:r>
            <w:r w:rsidR="00C9289F">
              <w:t>“PNG Citizen Company”</w:t>
            </w:r>
            <w:r w:rsidR="008652C2">
              <w:t xml:space="preserve"> </w:t>
            </w:r>
            <w:r w:rsidR="00C84EE4">
              <w:t>should</w:t>
            </w:r>
            <w:r w:rsidR="00CB157C">
              <w:t xml:space="preserve"> be interpreted in line with the </w:t>
            </w:r>
            <w:r w:rsidR="00CB157C" w:rsidRPr="00C84EE4">
              <w:rPr>
                <w:i/>
              </w:rPr>
              <w:t>Investment Promotion Act</w:t>
            </w:r>
            <w:r w:rsidR="00CB157C">
              <w:t xml:space="preserve"> view of such terminology and as such should </w:t>
            </w:r>
            <w:r w:rsidR="008652C2">
              <w:t xml:space="preserve">refer to </w:t>
            </w:r>
            <w:r w:rsidRPr="00D65362">
              <w:t xml:space="preserve">a PNG registered company with </w:t>
            </w:r>
            <w:r w:rsidR="00BC4910">
              <w:t>at least</w:t>
            </w:r>
            <w:r w:rsidRPr="00D65362">
              <w:t xml:space="preserve"> 51% shareholding owned by PNG citizens.  </w:t>
            </w:r>
            <w:r w:rsidR="008652C2">
              <w:t xml:space="preserve">Please be aware that formal amendment to the relevant legislation to reflect this </w:t>
            </w:r>
            <w:r w:rsidR="00C84EE4">
              <w:t xml:space="preserve">definition </w:t>
            </w:r>
            <w:r w:rsidR="008652C2">
              <w:t>still needs to occur.</w:t>
            </w:r>
          </w:p>
        </w:tc>
        <w:tc>
          <w:tcPr>
            <w:tcW w:w="1417" w:type="dxa"/>
            <w:vAlign w:val="center"/>
          </w:tcPr>
          <w:p w14:paraId="4B6D83CF" w14:textId="10DFD2B4" w:rsidR="00F95AA8" w:rsidRDefault="00C84EE4" w:rsidP="00F95AA8">
            <w:pPr>
              <w:jc w:val="center"/>
            </w:pPr>
            <w:r>
              <w:t>2</w:t>
            </w:r>
            <w:r w:rsidR="00C9289F">
              <w:t>2</w:t>
            </w:r>
            <w:r>
              <w:t xml:space="preserve"> </w:t>
            </w:r>
            <w:r w:rsidR="00F95AA8">
              <w:t>Nov 2021</w:t>
            </w:r>
          </w:p>
        </w:tc>
      </w:tr>
      <w:tr w:rsidR="00F95AA8" w14:paraId="131CFFFB" w14:textId="77777777" w:rsidTr="00F95AA8">
        <w:tc>
          <w:tcPr>
            <w:tcW w:w="426" w:type="dxa"/>
            <w:vAlign w:val="center"/>
          </w:tcPr>
          <w:p w14:paraId="4C77D30E" w14:textId="77777777" w:rsidR="00F95AA8" w:rsidRDefault="00F95AA8" w:rsidP="00F95AA8">
            <w:pPr>
              <w:jc w:val="center"/>
            </w:pPr>
          </w:p>
        </w:tc>
        <w:tc>
          <w:tcPr>
            <w:tcW w:w="6379" w:type="dxa"/>
            <w:vAlign w:val="center"/>
          </w:tcPr>
          <w:p w14:paraId="2BE89DE6" w14:textId="77777777" w:rsidR="00F95AA8" w:rsidRDefault="00F95AA8" w:rsidP="00F95AA8"/>
        </w:tc>
        <w:tc>
          <w:tcPr>
            <w:tcW w:w="7513" w:type="dxa"/>
            <w:vAlign w:val="center"/>
          </w:tcPr>
          <w:p w14:paraId="15FE43EB" w14:textId="77777777" w:rsidR="00F95AA8" w:rsidRDefault="00F95AA8" w:rsidP="00F95AA8"/>
        </w:tc>
        <w:tc>
          <w:tcPr>
            <w:tcW w:w="1417" w:type="dxa"/>
            <w:vAlign w:val="center"/>
          </w:tcPr>
          <w:p w14:paraId="56804D29" w14:textId="77777777" w:rsidR="00F95AA8" w:rsidRDefault="00F95AA8" w:rsidP="00F95AA8">
            <w:pPr>
              <w:jc w:val="center"/>
            </w:pPr>
          </w:p>
        </w:tc>
      </w:tr>
      <w:tr w:rsidR="00F95AA8" w14:paraId="0ED41DC3" w14:textId="77777777" w:rsidTr="00F95AA8">
        <w:tc>
          <w:tcPr>
            <w:tcW w:w="426" w:type="dxa"/>
            <w:vAlign w:val="center"/>
          </w:tcPr>
          <w:p w14:paraId="5A94EABE" w14:textId="77777777" w:rsidR="00F95AA8" w:rsidRDefault="00F95AA8" w:rsidP="00F95AA8">
            <w:pPr>
              <w:jc w:val="center"/>
            </w:pPr>
          </w:p>
        </w:tc>
        <w:tc>
          <w:tcPr>
            <w:tcW w:w="6379" w:type="dxa"/>
            <w:vAlign w:val="center"/>
          </w:tcPr>
          <w:p w14:paraId="1DFE5B75" w14:textId="77777777" w:rsidR="00F95AA8" w:rsidRDefault="00F95AA8" w:rsidP="00F95AA8"/>
        </w:tc>
        <w:tc>
          <w:tcPr>
            <w:tcW w:w="7513" w:type="dxa"/>
            <w:vAlign w:val="center"/>
          </w:tcPr>
          <w:p w14:paraId="42076894" w14:textId="77777777" w:rsidR="00F95AA8" w:rsidRDefault="00F95AA8" w:rsidP="00F95AA8"/>
        </w:tc>
        <w:tc>
          <w:tcPr>
            <w:tcW w:w="1417" w:type="dxa"/>
            <w:vAlign w:val="center"/>
          </w:tcPr>
          <w:p w14:paraId="3143BDC6" w14:textId="77777777" w:rsidR="00F95AA8" w:rsidRDefault="00F95AA8" w:rsidP="00F95AA8">
            <w:pPr>
              <w:jc w:val="center"/>
            </w:pPr>
          </w:p>
        </w:tc>
      </w:tr>
      <w:tr w:rsidR="00F95AA8" w14:paraId="62E96D67" w14:textId="77777777" w:rsidTr="00F95AA8">
        <w:tc>
          <w:tcPr>
            <w:tcW w:w="426" w:type="dxa"/>
            <w:vAlign w:val="center"/>
          </w:tcPr>
          <w:p w14:paraId="7A868A98" w14:textId="77777777" w:rsidR="00F95AA8" w:rsidRDefault="00F95AA8" w:rsidP="00F95AA8">
            <w:pPr>
              <w:jc w:val="center"/>
            </w:pPr>
          </w:p>
        </w:tc>
        <w:tc>
          <w:tcPr>
            <w:tcW w:w="6379" w:type="dxa"/>
            <w:vAlign w:val="center"/>
          </w:tcPr>
          <w:p w14:paraId="167FD15F" w14:textId="77777777" w:rsidR="00F95AA8" w:rsidRDefault="00F95AA8" w:rsidP="00F95AA8"/>
        </w:tc>
        <w:tc>
          <w:tcPr>
            <w:tcW w:w="7513" w:type="dxa"/>
            <w:vAlign w:val="center"/>
          </w:tcPr>
          <w:p w14:paraId="408FEF92" w14:textId="77777777" w:rsidR="00F95AA8" w:rsidRDefault="00F95AA8" w:rsidP="00F95AA8"/>
        </w:tc>
        <w:tc>
          <w:tcPr>
            <w:tcW w:w="1417" w:type="dxa"/>
            <w:vAlign w:val="center"/>
          </w:tcPr>
          <w:p w14:paraId="6CE68782" w14:textId="77777777" w:rsidR="00F95AA8" w:rsidRDefault="00F95AA8" w:rsidP="00F95AA8">
            <w:pPr>
              <w:jc w:val="center"/>
            </w:pPr>
          </w:p>
        </w:tc>
      </w:tr>
      <w:tr w:rsidR="00F95AA8" w14:paraId="4C429D54" w14:textId="77777777" w:rsidTr="00F95AA8">
        <w:tc>
          <w:tcPr>
            <w:tcW w:w="426" w:type="dxa"/>
            <w:vAlign w:val="center"/>
          </w:tcPr>
          <w:p w14:paraId="3016E6E7" w14:textId="77777777" w:rsidR="00F95AA8" w:rsidRDefault="00F95AA8" w:rsidP="00F95AA8">
            <w:pPr>
              <w:jc w:val="center"/>
            </w:pPr>
          </w:p>
        </w:tc>
        <w:tc>
          <w:tcPr>
            <w:tcW w:w="6379" w:type="dxa"/>
            <w:vAlign w:val="center"/>
          </w:tcPr>
          <w:p w14:paraId="79A507A1" w14:textId="77777777" w:rsidR="00F95AA8" w:rsidRDefault="00F95AA8" w:rsidP="00F95AA8"/>
        </w:tc>
        <w:tc>
          <w:tcPr>
            <w:tcW w:w="7513" w:type="dxa"/>
            <w:vAlign w:val="center"/>
          </w:tcPr>
          <w:p w14:paraId="4B2291EA" w14:textId="77777777" w:rsidR="00F95AA8" w:rsidRDefault="00F95AA8" w:rsidP="00F95AA8"/>
        </w:tc>
        <w:tc>
          <w:tcPr>
            <w:tcW w:w="1417" w:type="dxa"/>
            <w:vAlign w:val="center"/>
          </w:tcPr>
          <w:p w14:paraId="0844A38A" w14:textId="77777777" w:rsidR="00F95AA8" w:rsidRDefault="00F95AA8" w:rsidP="00F95AA8">
            <w:pPr>
              <w:jc w:val="center"/>
            </w:pPr>
          </w:p>
        </w:tc>
      </w:tr>
      <w:tr w:rsidR="00F95AA8" w14:paraId="064B2468" w14:textId="77777777" w:rsidTr="00F95AA8">
        <w:tc>
          <w:tcPr>
            <w:tcW w:w="426" w:type="dxa"/>
            <w:vAlign w:val="center"/>
          </w:tcPr>
          <w:p w14:paraId="329A8233" w14:textId="77777777" w:rsidR="00F95AA8" w:rsidRDefault="00F95AA8" w:rsidP="00F95AA8">
            <w:pPr>
              <w:jc w:val="center"/>
            </w:pPr>
          </w:p>
        </w:tc>
        <w:tc>
          <w:tcPr>
            <w:tcW w:w="6379" w:type="dxa"/>
            <w:vAlign w:val="center"/>
          </w:tcPr>
          <w:p w14:paraId="6C819A78" w14:textId="77777777" w:rsidR="00F95AA8" w:rsidRDefault="00F95AA8" w:rsidP="00F95AA8"/>
        </w:tc>
        <w:tc>
          <w:tcPr>
            <w:tcW w:w="7513" w:type="dxa"/>
            <w:vAlign w:val="center"/>
          </w:tcPr>
          <w:p w14:paraId="430FD36C" w14:textId="77777777" w:rsidR="00F95AA8" w:rsidRDefault="00F95AA8" w:rsidP="00F95AA8"/>
        </w:tc>
        <w:tc>
          <w:tcPr>
            <w:tcW w:w="1417" w:type="dxa"/>
            <w:vAlign w:val="center"/>
          </w:tcPr>
          <w:p w14:paraId="512EAA61" w14:textId="77777777" w:rsidR="00F95AA8" w:rsidRDefault="00F95AA8" w:rsidP="00F95AA8">
            <w:pPr>
              <w:jc w:val="center"/>
            </w:pPr>
          </w:p>
        </w:tc>
      </w:tr>
    </w:tbl>
    <w:p w14:paraId="0BC0631B" w14:textId="77777777" w:rsidR="004E0B39" w:rsidRDefault="004E0B39"/>
    <w:sectPr w:rsidR="004E0B39" w:rsidSect="00F95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09D41" w14:textId="77777777" w:rsidR="0040697B" w:rsidRDefault="0040697B" w:rsidP="008652C2">
      <w:pPr>
        <w:spacing w:after="0" w:line="240" w:lineRule="auto"/>
      </w:pPr>
      <w:r>
        <w:separator/>
      </w:r>
    </w:p>
  </w:endnote>
  <w:endnote w:type="continuationSeparator" w:id="0">
    <w:p w14:paraId="76F1E0BE" w14:textId="77777777" w:rsidR="0040697B" w:rsidRDefault="0040697B" w:rsidP="00865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479B0" w14:textId="77777777" w:rsidR="008652C2" w:rsidRDefault="008652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CD455" w14:textId="77777777" w:rsidR="008652C2" w:rsidRDefault="008652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A7502" w14:textId="77777777" w:rsidR="008652C2" w:rsidRDefault="00865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A8280" w14:textId="77777777" w:rsidR="0040697B" w:rsidRDefault="0040697B" w:rsidP="008652C2">
      <w:pPr>
        <w:spacing w:after="0" w:line="240" w:lineRule="auto"/>
      </w:pPr>
      <w:r>
        <w:separator/>
      </w:r>
    </w:p>
  </w:footnote>
  <w:footnote w:type="continuationSeparator" w:id="0">
    <w:p w14:paraId="04B700CB" w14:textId="77777777" w:rsidR="0040697B" w:rsidRDefault="0040697B" w:rsidP="00865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E1B24" w14:textId="77777777" w:rsidR="008652C2" w:rsidRDefault="00865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3406E" w14:textId="77777777" w:rsidR="008652C2" w:rsidRDefault="008652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EC87E" w14:textId="77777777" w:rsidR="008652C2" w:rsidRDefault="008652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oterIsRun" w:val="N"/>
  </w:docVars>
  <w:rsids>
    <w:rsidRoot w:val="00F95AA8"/>
    <w:rsid w:val="00200BD2"/>
    <w:rsid w:val="00291476"/>
    <w:rsid w:val="0040697B"/>
    <w:rsid w:val="004E0B39"/>
    <w:rsid w:val="00587A82"/>
    <w:rsid w:val="008652C2"/>
    <w:rsid w:val="00BC4910"/>
    <w:rsid w:val="00C84EE4"/>
    <w:rsid w:val="00C9289F"/>
    <w:rsid w:val="00CB157C"/>
    <w:rsid w:val="00D20EC6"/>
    <w:rsid w:val="00D65362"/>
    <w:rsid w:val="00F9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BBE9F"/>
  <w15:chartTrackingRefBased/>
  <w15:docId w15:val="{682FF8B9-4C1D-454D-8B35-7982CA7C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5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5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2C2"/>
  </w:style>
  <w:style w:type="paragraph" w:styleId="Footer">
    <w:name w:val="footer"/>
    <w:basedOn w:val="Normal"/>
    <w:link w:val="FooterChar"/>
    <w:uiPriority w:val="99"/>
    <w:unhideWhenUsed/>
    <w:rsid w:val="00865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2C2"/>
  </w:style>
  <w:style w:type="paragraph" w:styleId="BalloonText">
    <w:name w:val="Balloon Text"/>
    <w:basedOn w:val="Normal"/>
    <w:link w:val="BalloonTextChar"/>
    <w:uiPriority w:val="99"/>
    <w:semiHidden/>
    <w:unhideWhenUsed/>
    <w:rsid w:val="00865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Street</dc:creator>
  <cp:keywords/>
  <dc:description/>
  <cp:lastModifiedBy>Laure Darcy</cp:lastModifiedBy>
  <cp:revision>2</cp:revision>
  <dcterms:created xsi:type="dcterms:W3CDTF">2021-11-22T23:01:00Z</dcterms:created>
  <dcterms:modified xsi:type="dcterms:W3CDTF">2021-11-22T23:01:00Z</dcterms:modified>
</cp:coreProperties>
</file>